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67" w:rsidRPr="00A74B37" w:rsidRDefault="00E60325" w:rsidP="00C006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A74B37">
        <w:rPr>
          <w:rFonts w:eastAsia="Times New Roman" w:cstheme="minorHAnsi"/>
          <w:sz w:val="24"/>
          <w:szCs w:val="24"/>
          <w:lang w:eastAsia="hu-HU"/>
        </w:rPr>
        <w:t>Kiemelés Dr Tanka Endre egy magánleveléből</w:t>
      </w:r>
      <w:r w:rsidR="00CD4DEC" w:rsidRPr="00A74B37">
        <w:rPr>
          <w:rFonts w:eastAsia="Times New Roman" w:cstheme="minorHAnsi"/>
          <w:sz w:val="24"/>
          <w:szCs w:val="24"/>
          <w:lang w:eastAsia="hu-HU"/>
        </w:rPr>
        <w:t xml:space="preserve"> – </w:t>
      </w:r>
      <w:r w:rsidR="00A74B37" w:rsidRPr="00A74B37">
        <w:rPr>
          <w:rFonts w:ascii="Calibri" w:eastAsia="Times New Roman" w:hAnsi="Calibri" w:cs="Calibri"/>
          <w:sz w:val="24"/>
          <w:szCs w:val="24"/>
          <w:lang w:eastAsia="hu-HU"/>
        </w:rPr>
        <w:t>túl kell élni az NWO világháborúját</w:t>
      </w:r>
    </w:p>
    <w:p w:rsidR="00E60325" w:rsidRDefault="00E60325" w:rsidP="003F61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</w:p>
    <w:p w:rsidR="003F6167" w:rsidRDefault="00E60325" w:rsidP="003F61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…. </w:t>
      </w:r>
      <w:r w:rsidR="003F6167">
        <w:rPr>
          <w:rFonts w:eastAsia="Times New Roman" w:cstheme="minorHAnsi"/>
          <w:sz w:val="24"/>
          <w:szCs w:val="24"/>
          <w:lang w:eastAsia="hu-HU"/>
        </w:rPr>
        <w:t>Az EUMSZ – ből a 222. (ma 345.) cikket emeled ki, ami 1957-ben a Hatok (valójában a német – francia tengely) állami szuverenitásának a jogi garanciája, de mára csak tö</w:t>
      </w:r>
      <w:r w:rsidR="008E5E99">
        <w:rPr>
          <w:rFonts w:eastAsia="Times New Roman" w:cstheme="minorHAnsi"/>
          <w:sz w:val="24"/>
          <w:szCs w:val="24"/>
          <w:lang w:eastAsia="hu-HU"/>
        </w:rPr>
        <w:t>rténelmi ereklye. A „jogfejlesztés</w:t>
      </w:r>
      <w:r w:rsidR="003F6167">
        <w:rPr>
          <w:rFonts w:eastAsia="Times New Roman" w:cstheme="minorHAnsi"/>
          <w:sz w:val="24"/>
          <w:szCs w:val="24"/>
          <w:lang w:eastAsia="hu-HU"/>
        </w:rPr>
        <w:t>” teljesen más képletet hozott, ami nemcsak összetett és a célképzetnek megfelelő rendszertani minőség</w:t>
      </w:r>
      <w:r w:rsidR="00C25140">
        <w:rPr>
          <w:rFonts w:eastAsia="Times New Roman" w:cstheme="minorHAnsi"/>
          <w:sz w:val="24"/>
          <w:szCs w:val="24"/>
          <w:lang w:eastAsia="hu-HU"/>
        </w:rPr>
        <w:t xml:space="preserve"> -</w:t>
      </w:r>
      <w:r w:rsidR="003F6167">
        <w:rPr>
          <w:rFonts w:eastAsia="Times New Roman" w:cstheme="minorHAnsi"/>
          <w:sz w:val="24"/>
          <w:szCs w:val="24"/>
          <w:lang w:eastAsia="hu-HU"/>
        </w:rPr>
        <w:t xml:space="preserve"> (paradig</w:t>
      </w:r>
      <w:r w:rsidR="00C25140">
        <w:rPr>
          <w:rFonts w:eastAsia="Times New Roman" w:cstheme="minorHAnsi"/>
          <w:sz w:val="24"/>
          <w:szCs w:val="24"/>
          <w:lang w:eastAsia="hu-HU"/>
        </w:rPr>
        <w:t>ma)</w:t>
      </w:r>
      <w:r w:rsidR="003F6167">
        <w:rPr>
          <w:rFonts w:eastAsia="Times New Roman" w:cstheme="minorHAnsi"/>
          <w:sz w:val="24"/>
          <w:szCs w:val="24"/>
          <w:lang w:eastAsia="hu-HU"/>
        </w:rPr>
        <w:t xml:space="preserve">váltást bizonyít, hanem egyúttal a </w:t>
      </w:r>
      <w:r w:rsidR="003F6167" w:rsidRPr="008E5E99">
        <w:rPr>
          <w:rFonts w:eastAsia="Times New Roman" w:cstheme="minorHAnsi"/>
          <w:sz w:val="24"/>
          <w:szCs w:val="24"/>
          <w:u w:val="single"/>
          <w:lang w:eastAsia="hu-HU"/>
        </w:rPr>
        <w:t xml:space="preserve">tőkeszerveződés elemi jogalapjától (annak mint jogi személynek </w:t>
      </w:r>
      <w:r w:rsidR="00C25140" w:rsidRPr="008E5E99">
        <w:rPr>
          <w:rFonts w:eastAsia="Times New Roman" w:cstheme="minorHAnsi"/>
          <w:sz w:val="24"/>
          <w:szCs w:val="24"/>
          <w:u w:val="single"/>
          <w:lang w:eastAsia="hu-HU"/>
        </w:rPr>
        <w:t>a jogképessége teljes kiteljesítésétől /a tőkés társaságok világuralmától/) átível az NWO tőkés oligopóliumra épülő, intézményi létrehozásáig</w:t>
      </w:r>
      <w:r w:rsidR="00C25140">
        <w:rPr>
          <w:rFonts w:eastAsia="Times New Roman" w:cstheme="minorHAnsi"/>
          <w:sz w:val="24"/>
          <w:szCs w:val="24"/>
          <w:lang w:eastAsia="hu-HU"/>
        </w:rPr>
        <w:t>. Mi a képlet lényege?</w:t>
      </w:r>
    </w:p>
    <w:p w:rsidR="00C25140" w:rsidRDefault="00C25140" w:rsidP="003F616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5F4A46" w:rsidRDefault="00C25140" w:rsidP="005F4A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F4A46">
        <w:rPr>
          <w:rFonts w:eastAsia="Times New Roman" w:cstheme="minorHAnsi"/>
          <w:sz w:val="24"/>
          <w:szCs w:val="24"/>
          <w:lang w:eastAsia="hu-HU"/>
        </w:rPr>
        <w:t>1/</w:t>
      </w:r>
      <w:r w:rsidR="009A29F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F4A46">
        <w:rPr>
          <w:rFonts w:eastAsia="Times New Roman" w:cstheme="minorHAnsi"/>
          <w:sz w:val="24"/>
          <w:szCs w:val="24"/>
          <w:lang w:eastAsia="hu-HU"/>
        </w:rPr>
        <w:t xml:space="preserve">Maga a „tőkeszabadság” – mint az EU legfőbb értéke – az elsődleges jogi megjelenésében törvényes garancia a mindenkori </w:t>
      </w:r>
      <w:r w:rsidRPr="005F4A46">
        <w:rPr>
          <w:rFonts w:eastAsia="Times New Roman" w:cstheme="minorHAnsi"/>
          <w:sz w:val="24"/>
          <w:szCs w:val="24"/>
          <w:u w:val="single"/>
          <w:lang w:eastAsia="hu-HU"/>
        </w:rPr>
        <w:t>tőkeérdek</w:t>
      </w:r>
      <w:r w:rsidRPr="005F4A46">
        <w:rPr>
          <w:rFonts w:eastAsia="Times New Roman" w:cstheme="minorHAnsi"/>
          <w:sz w:val="24"/>
          <w:szCs w:val="24"/>
          <w:lang w:eastAsia="hu-HU"/>
        </w:rPr>
        <w:t xml:space="preserve"> korlátlan érvényesítésére, ideértve – szükség esetén – a </w:t>
      </w:r>
      <w:r w:rsidRPr="009A29F6">
        <w:rPr>
          <w:rFonts w:eastAsia="Times New Roman" w:cstheme="minorHAnsi"/>
          <w:sz w:val="24"/>
          <w:szCs w:val="24"/>
          <w:u w:val="single"/>
          <w:lang w:eastAsia="hu-HU"/>
        </w:rPr>
        <w:t>tagállami szuverenitás teljes elvonását</w:t>
      </w:r>
      <w:r w:rsidRPr="005F4A46">
        <w:rPr>
          <w:rFonts w:eastAsia="Times New Roman" w:cstheme="minorHAnsi"/>
          <w:sz w:val="24"/>
          <w:szCs w:val="24"/>
          <w:lang w:eastAsia="hu-HU"/>
        </w:rPr>
        <w:t xml:space="preserve"> is. Ld. ennek intézményét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 röviden: „az EU 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>legfőbb vívmánya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>a tőke, az áruk, a szolgáltatások és a személyek (döntően a munkaerő) szabad mozgása.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 Az uniós értékrendben az acquis communautaire ezen legfőbb vívmányai, a „négy szabadság” 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>nem egyenértékű kategóriák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 egymás mellé rendelése, hanem közülük 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>három alárendelt eszköze a legelsőnek, a tőke szabad mozgásának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. Az áruk, a szolgáltatások és a személyek Unión belüli korlátlan „áramoltatása” egyaránt a tőke és a szabad kereskedelem nem gátolható érvényesülését szolgálja. Ezt a tényt kétségtelenné teszi az 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 xml:space="preserve">EU Alapszerződése </w:t>
      </w:r>
      <w:r w:rsidR="003C0E7E" w:rsidRPr="005F4A46">
        <w:rPr>
          <w:rFonts w:eastAsia="Times New Roman" w:cstheme="minorHAnsi"/>
          <w:b/>
          <w:bCs/>
          <w:i/>
          <w:iCs/>
          <w:sz w:val="24"/>
          <w:szCs w:val="24"/>
          <w:lang w:eastAsia="hu-HU"/>
        </w:rPr>
        <w:t>(EUMSZ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>),</w:t>
      </w:r>
      <w:r w:rsidR="005F4A46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amely három, az EU teljes működését meghatározó 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>intézményi kiváltságot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 biztosít a tőkeszabadságnak. Egyik a szabad tőkemozgás bármely - az Unión belüli és kívüli - 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>korlátjának a tilalma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. (EUMSZ 63. cikk /1/ b. pontja.) Másik a 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>tőke vétójoga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: az olyan intézkedéshez, ami a tőke elért kiváltságaihoz képest  -  akár a legkisebb -  visszalépés lenne, a döntéshozók teljes egyetértése kell. (EUMSZ 63. cikk /1/ c. pontja.) A harmadik a legfontosabb, ez az </w:t>
      </w:r>
      <w:r w:rsidR="003C0E7E" w:rsidRPr="005F4A46">
        <w:rPr>
          <w:rFonts w:eastAsia="Times New Roman" w:cstheme="minorHAnsi"/>
          <w:i/>
          <w:iCs/>
          <w:sz w:val="24"/>
          <w:szCs w:val="24"/>
          <w:u w:val="single"/>
          <w:lang w:eastAsia="hu-HU"/>
        </w:rPr>
        <w:t>alárendelés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törvénye.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3C0E7E" w:rsidRPr="005F4A46">
        <w:rPr>
          <w:rFonts w:eastAsia="Times New Roman" w:cstheme="minorHAnsi"/>
          <w:sz w:val="24"/>
          <w:szCs w:val="24"/>
          <w:u w:val="single"/>
          <w:lang w:eastAsia="hu-HU"/>
        </w:rPr>
        <w:t>„</w:t>
      </w:r>
      <w:r w:rsidR="003C0E7E" w:rsidRPr="005F4A46">
        <w:rPr>
          <w:rFonts w:eastAsia="Times New Roman" w:cstheme="minorHAnsi"/>
          <w:i/>
          <w:iCs/>
          <w:sz w:val="24"/>
          <w:szCs w:val="24"/>
          <w:u w:val="single"/>
          <w:lang w:eastAsia="hu-HU"/>
        </w:rPr>
        <w:t xml:space="preserve">Amikor a Tanács és a Parlament a tőke lehető legnagyobb mértékű kiterjesztése </w:t>
      </w:r>
      <w:r w:rsidR="003C0E7E" w:rsidRPr="005F4A46">
        <w:rPr>
          <w:rFonts w:eastAsia="Times New Roman" w:cstheme="minorHAnsi"/>
          <w:b/>
          <w:i/>
          <w:iCs/>
          <w:sz w:val="24"/>
          <w:szCs w:val="24"/>
          <w:u w:val="single"/>
          <w:lang w:eastAsia="hu-HU"/>
        </w:rPr>
        <w:t>érdekében</w:t>
      </w:r>
      <w:r w:rsidR="003C0E7E" w:rsidRPr="005F4A46">
        <w:rPr>
          <w:rFonts w:eastAsia="Times New Roman" w:cstheme="minorHAnsi"/>
          <w:i/>
          <w:iCs/>
          <w:sz w:val="24"/>
          <w:szCs w:val="24"/>
          <w:lang w:eastAsia="hu-HU"/>
        </w:rPr>
        <w:t xml:space="preserve"> (értsd: a világméretű uralma megvalósításáért) jár el</w:t>
      </w:r>
      <w:r w:rsidR="003C0E7E" w:rsidRPr="005F4A46">
        <w:rPr>
          <w:rFonts w:eastAsia="Times New Roman" w:cstheme="minorHAnsi"/>
          <w:i/>
          <w:iCs/>
          <w:sz w:val="24"/>
          <w:szCs w:val="24"/>
          <w:u w:val="single"/>
          <w:lang w:eastAsia="hu-HU"/>
        </w:rPr>
        <w:t>, a Szerződés (EUMSZ) egyéb fejezeteiben foglaltakat nem veszi figyelembe.</w:t>
      </w:r>
      <w:r w:rsidR="003C0E7E" w:rsidRPr="005F4A46">
        <w:rPr>
          <w:rFonts w:eastAsia="Times New Roman" w:cstheme="minorHAnsi"/>
          <w:sz w:val="24"/>
          <w:szCs w:val="24"/>
          <w:lang w:eastAsia="hu-HU"/>
        </w:rPr>
        <w:t xml:space="preserve">” Ez több mint a tőkeszabadságnak tett egyik engedmény, mert nyílt, intézményi cinizmus: mivel az idézett jogforrás az EUMSZ tőkéről szóló 4. fejezetében van, minden más szabály a többi fejezetben szerepel. </w:t>
      </w:r>
    </w:p>
    <w:p w:rsidR="005F4A46" w:rsidRDefault="003C0E7E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4A46">
        <w:rPr>
          <w:rFonts w:eastAsia="Times New Roman" w:cstheme="minorHAnsi"/>
          <w:sz w:val="24"/>
          <w:szCs w:val="24"/>
          <w:lang w:eastAsia="hu-HU"/>
        </w:rPr>
        <w:t xml:space="preserve">A jogparancs, magyarán úgy szól: az Unióban megjelenő </w:t>
      </w:r>
      <w:r w:rsidRPr="005F4A46">
        <w:rPr>
          <w:rFonts w:eastAsia="Times New Roman" w:cstheme="minorHAnsi"/>
          <w:i/>
          <w:iCs/>
          <w:sz w:val="24"/>
          <w:szCs w:val="24"/>
          <w:u w:val="single"/>
          <w:lang w:eastAsia="hu-HU"/>
        </w:rPr>
        <w:t>tőke az EU összes közösségi politikáját</w:t>
      </w:r>
      <w:r w:rsidRPr="005F4A46">
        <w:rPr>
          <w:rFonts w:eastAsia="Times New Roman" w:cstheme="minorHAnsi"/>
          <w:sz w:val="24"/>
          <w:szCs w:val="24"/>
          <w:u w:val="single"/>
          <w:lang w:eastAsia="hu-HU"/>
        </w:rPr>
        <w:t xml:space="preserve"> (kül- és belpolitika, agrárpolitika, környezetvédelem, stb.) továbbá a </w:t>
      </w:r>
      <w:r w:rsidRPr="005F4A46">
        <w:rPr>
          <w:rFonts w:eastAsia="Times New Roman" w:cstheme="minorHAnsi"/>
          <w:i/>
          <w:iCs/>
          <w:sz w:val="24"/>
          <w:szCs w:val="24"/>
          <w:u w:val="single"/>
          <w:lang w:eastAsia="hu-HU"/>
        </w:rPr>
        <w:t>tagállamok és a polgárok jogait, lényegében az egész közösségi jogot alkotmányos jogerővel alárendeli a saját magánérdekeinek</w:t>
      </w:r>
      <w:r w:rsidRPr="005F4A46">
        <w:rPr>
          <w:rFonts w:eastAsia="Times New Roman" w:cstheme="minorHAnsi"/>
          <w:sz w:val="24"/>
          <w:szCs w:val="24"/>
          <w:lang w:eastAsia="hu-HU"/>
        </w:rPr>
        <w:t>. Azok csak annyiban érvényesülhetnek, amennyiben a tőkeérdek képviseletére felhatalmazott -  valójában a tőkehatalomnak elkötelezett és nem az EU polgárai által választott - központi döntéshozók azt egyeztetik a tőkeszabadság érdekeivel.</w:t>
      </w:r>
      <w:r w:rsidR="005F4A4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F4A46" w:rsidRPr="005F4A46">
        <w:rPr>
          <w:rFonts w:eastAsia="Times New Roman" w:cstheme="minorHAnsi"/>
          <w:sz w:val="24"/>
          <w:szCs w:val="24"/>
          <w:lang w:eastAsia="hu-HU"/>
        </w:rPr>
        <w:t xml:space="preserve">(Ld. Tanka E.: "Korunk földkérdése, létünk a tét." /Földrablások a világban és magyar földvédelem./ </w:t>
      </w:r>
      <w:r w:rsidR="005F4A46">
        <w:rPr>
          <w:rFonts w:eastAsia="Times New Roman" w:cstheme="minorHAnsi"/>
          <w:sz w:val="24"/>
          <w:szCs w:val="24"/>
          <w:lang w:eastAsia="hu-HU"/>
        </w:rPr>
        <w:t xml:space="preserve">2018. </w:t>
      </w:r>
      <w:r w:rsidR="005F4A46" w:rsidRPr="005F4A46">
        <w:rPr>
          <w:rFonts w:eastAsia="Times New Roman" w:cstheme="minorHAnsi"/>
          <w:sz w:val="24"/>
          <w:szCs w:val="24"/>
          <w:lang w:eastAsia="hu-HU"/>
        </w:rPr>
        <w:t xml:space="preserve"> 4 Pont Nyomda KFT, Eger.  1- 286. o.</w:t>
      </w:r>
      <w:r w:rsidR="005F4A46">
        <w:rPr>
          <w:rFonts w:eastAsia="Times New Roman" w:cstheme="minorHAnsi"/>
          <w:sz w:val="24"/>
          <w:szCs w:val="24"/>
          <w:lang w:eastAsia="hu-HU"/>
        </w:rPr>
        <w:t xml:space="preserve"> idézet 11- 12. o.) </w:t>
      </w:r>
      <w:hyperlink w:anchor="a" w:history="1">
        <w:r w:rsidR="00C53AAF" w:rsidRPr="00C53AAF">
          <w:rPr>
            <w:rStyle w:val="Hiperhivatkozs"/>
            <w:rFonts w:eastAsia="Times New Roman" w:cstheme="minorHAnsi"/>
            <w:sz w:val="24"/>
            <w:szCs w:val="24"/>
            <w:vertAlign w:val="superscript"/>
            <w:lang w:eastAsia="hu-HU"/>
          </w:rPr>
          <w:t>[lásd v</w:t>
        </w:r>
        <w:r w:rsidR="00C53AAF" w:rsidRPr="00C53AAF">
          <w:rPr>
            <w:rStyle w:val="Hiperhivatkozs"/>
            <w:rFonts w:eastAsia="Times New Roman" w:cstheme="minorHAnsi"/>
            <w:sz w:val="24"/>
            <w:szCs w:val="24"/>
            <w:vertAlign w:val="superscript"/>
            <w:lang w:eastAsia="hu-HU"/>
          </w:rPr>
          <w:t>é</w:t>
        </w:r>
        <w:r w:rsidR="00C53AAF" w:rsidRPr="00C53AAF">
          <w:rPr>
            <w:rStyle w:val="Hiperhivatkozs"/>
            <w:rFonts w:eastAsia="Times New Roman" w:cstheme="minorHAnsi"/>
            <w:sz w:val="24"/>
            <w:szCs w:val="24"/>
            <w:vertAlign w:val="superscript"/>
            <w:lang w:eastAsia="hu-HU"/>
          </w:rPr>
          <w:t>gén az -1.- jegyzetet</w:t>
        </w:r>
      </w:hyperlink>
      <w:r w:rsidR="00C53AAF">
        <w:rPr>
          <w:rFonts w:eastAsia="Times New Roman" w:cstheme="minorHAnsi"/>
          <w:sz w:val="24"/>
          <w:szCs w:val="24"/>
          <w:vertAlign w:val="superscript"/>
          <w:lang w:eastAsia="hu-HU"/>
        </w:rPr>
        <w:t>)</w:t>
      </w:r>
      <w:r w:rsidR="005F4A46">
        <w:rPr>
          <w:rFonts w:eastAsia="Times New Roman" w:cstheme="minorHAnsi"/>
          <w:sz w:val="24"/>
          <w:szCs w:val="24"/>
          <w:lang w:eastAsia="hu-HU"/>
        </w:rPr>
        <w:t xml:space="preserve"> &lt;&gt; </w:t>
      </w:r>
      <w:r w:rsidR="005F4A46" w:rsidRPr="00C006CA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EUMSZ</w:t>
      </w:r>
      <w:r w:rsidR="005F4A46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 == az </w:t>
      </w:r>
      <w:r w:rsidR="005F4A46" w:rsidRPr="00C006CA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Európai Unió Működéséről szóló Szerződés</w:t>
      </w:r>
      <w:r w:rsidR="005F4A46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, a 2007. II. 13-án kelt és 2009. XII. 1-jén hatályba lépett </w:t>
      </w:r>
      <w:r w:rsidR="005F4A46" w:rsidRPr="00C006CA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Lisszaboni Szerződés</w:t>
      </w:r>
      <w:r w:rsidR="005F4A46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 által módosított, majd egységes szerkezetben közzétett normaszöveg. Ld. magyarul: az EU Hivatalos Lapja C 326.  55. évf. 2012. okt. 26. 2012/C 326/01 közlési szám alatt.</w:t>
      </w:r>
      <w:r w:rsidR="005F4A46">
        <w:rPr>
          <w:rFonts w:ascii="Calibri" w:eastAsia="Times New Roman" w:hAnsi="Calibri" w:cs="Calibri"/>
          <w:sz w:val="24"/>
          <w:szCs w:val="24"/>
          <w:lang w:eastAsia="hu-HU"/>
        </w:rPr>
        <w:t xml:space="preserve"> &lt;&gt; </w:t>
      </w:r>
      <w:r w:rsidR="005F4A46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Ugyanezt a szabályt a 2007. XII. 13-i </w:t>
      </w:r>
      <w:r w:rsidR="005F4A46" w:rsidRPr="00C006CA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Lisszaboni Szerződés</w:t>
      </w:r>
      <w:r w:rsidR="005F4A46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 is megerősítette. (157. cikk)</w:t>
      </w:r>
    </w:p>
    <w:p w:rsidR="005F4A46" w:rsidRDefault="005F4A46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közösségi jog elsőbbségének (az ún. elsőbbségi doktrínának, vagyis annak, hogy az uniós jog a tagállami jog fölött áll) az EuB  (Európai Bíróság)</w:t>
      </w:r>
      <w:r w:rsidR="00C15D83">
        <w:rPr>
          <w:rFonts w:ascii="Calibri" w:eastAsia="Times New Roman" w:hAnsi="Calibri" w:cs="Calibri"/>
          <w:sz w:val="24"/>
          <w:szCs w:val="24"/>
          <w:lang w:eastAsia="hu-HU"/>
        </w:rPr>
        <w:t xml:space="preserve"> szerez érvényt. Ebből ered – többek közt -, hogy az </w:t>
      </w:r>
      <w:r w:rsidR="00C15D83" w:rsidRPr="009A29F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EUMSZ 4. fejezete (a tőke kiváltságai) már önmagukban is törvényessé teszik (legitimálják) a magyar történelmi alkotmányra való bármely aktuálpolitikai hivatkozásnak és igénynek a kategorikus uniós elutasítását</w:t>
      </w:r>
      <w:r w:rsidR="00C15D83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C53319" w:rsidRDefault="00C53319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Ez a jogi tény nem azt jelenti, hogy bármely tagállam eleve lemondana</w:t>
      </w:r>
      <w:r w:rsidR="009F1098">
        <w:rPr>
          <w:rFonts w:ascii="Calibri" w:eastAsia="Times New Roman" w:hAnsi="Calibri" w:cs="Calibri"/>
          <w:sz w:val="24"/>
          <w:szCs w:val="24"/>
          <w:lang w:eastAsia="hu-HU"/>
        </w:rPr>
        <w:t xml:space="preserve"> 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saját (adott esetben nem is történelmi) alkotmányának az EU parancsuralmával</w:t>
      </w:r>
      <w:r w:rsidR="009F1098">
        <w:rPr>
          <w:rFonts w:ascii="Calibri" w:eastAsia="Times New Roman" w:hAnsi="Calibri" w:cs="Calibri"/>
          <w:sz w:val="24"/>
          <w:szCs w:val="24"/>
          <w:lang w:eastAsia="hu-HU"/>
        </w:rPr>
        <w:t xml:space="preserve"> szemben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az önvédelmi felhasználásáról. (Ld.</w:t>
      </w:r>
      <w:r w:rsidR="009A29F6">
        <w:rPr>
          <w:rFonts w:ascii="Calibri" w:eastAsia="Times New Roman" w:hAnsi="Calibri" w:cs="Calibri"/>
          <w:sz w:val="24"/>
          <w:szCs w:val="24"/>
          <w:lang w:eastAsia="hu-HU"/>
        </w:rPr>
        <w:t xml:space="preserve"> pl.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a német alkotmány – identitási doktrínát, amit több könyvemben</w:t>
      </w:r>
      <w:r w:rsidR="009F1098">
        <w:rPr>
          <w:rFonts w:ascii="Calibri" w:eastAsia="Times New Roman" w:hAnsi="Calibri" w:cs="Calibri"/>
          <w:sz w:val="24"/>
          <w:szCs w:val="24"/>
          <w:lang w:eastAsia="hu-HU"/>
        </w:rPr>
        <w:t xml:space="preserve"> ismertetek.)</w:t>
      </w:r>
    </w:p>
    <w:p w:rsidR="009A29F6" w:rsidRDefault="009A29F6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2/ A  tőkeuralomnak a tagországok államterületére kiterjesztése 1957 – től az EU földpiacán </w:t>
      </w:r>
      <w:r w:rsidRPr="009A29F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három intézményi fordulattal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valósult meg. a// Az a föld, ami nem élelemtermelést szolgál (nem mezőgazdasági)</w:t>
      </w:r>
      <w:r w:rsidR="00DC11A4">
        <w:rPr>
          <w:rFonts w:ascii="Calibri" w:eastAsia="Times New Roman" w:hAnsi="Calibri" w:cs="Calibri"/>
          <w:sz w:val="24"/>
          <w:szCs w:val="24"/>
          <w:lang w:eastAsia="hu-HU"/>
        </w:rPr>
        <w:t xml:space="preserve">, 1988 – tól </w:t>
      </w:r>
      <w:r w:rsidR="00DC11A4" w:rsidRPr="00DC11A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ingatlannak</w:t>
      </w:r>
      <w:r w:rsidR="00DC11A4">
        <w:rPr>
          <w:rFonts w:ascii="Calibri" w:eastAsia="Times New Roman" w:hAnsi="Calibri" w:cs="Calibri"/>
          <w:sz w:val="24"/>
          <w:szCs w:val="24"/>
          <w:lang w:eastAsia="hu-HU"/>
        </w:rPr>
        <w:t xml:space="preserve"> minősül, így bárki számára (bel – és külföldi, természetes vagy jogi személy) korlátlanul forgalomképes tőke. b// 2004 – től az </w:t>
      </w:r>
      <w:r w:rsidR="00DC11A4" w:rsidRPr="00DC11A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EU keleti belépőinek  mezőgazdasági földje</w:t>
      </w:r>
      <w:r w:rsidR="00DC11A4">
        <w:rPr>
          <w:rFonts w:ascii="Calibri" w:eastAsia="Times New Roman" w:hAnsi="Calibri" w:cs="Calibri"/>
          <w:sz w:val="24"/>
          <w:szCs w:val="24"/>
          <w:lang w:eastAsia="hu-HU"/>
        </w:rPr>
        <w:t xml:space="preserve"> (az átmeneti mentesség lejártával) – Ciprus, Málta és Szlovénia kivételével – </w:t>
      </w:r>
      <w:r w:rsidR="00DC11A4" w:rsidRPr="00DC11A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tőke</w:t>
      </w:r>
      <w:r w:rsidR="00DC11A4">
        <w:rPr>
          <w:rFonts w:ascii="Calibri" w:eastAsia="Times New Roman" w:hAnsi="Calibri" w:cs="Calibri"/>
          <w:sz w:val="24"/>
          <w:szCs w:val="24"/>
          <w:lang w:eastAsia="hu-HU"/>
        </w:rPr>
        <w:t xml:space="preserve"> lett, így arra az új tagállamok elvesztették a korábbi alkotmányos önrendelkezésüket és korlátlan földpiacot kellett nyitniuk a tőkeigények részére. c// Az EuB „jogfejlesztő” gyakorlata – részben összhangban a tagállami rész – szuverenitás teljes felszámolását célz</w:t>
      </w:r>
      <w:r w:rsidR="001A4DE2">
        <w:rPr>
          <w:rFonts w:ascii="Calibri" w:eastAsia="Times New Roman" w:hAnsi="Calibri" w:cs="Calibri"/>
          <w:sz w:val="24"/>
          <w:szCs w:val="24"/>
          <w:lang w:eastAsia="hu-HU"/>
        </w:rPr>
        <w:t xml:space="preserve">ó politikai szándékkal, a szövetséges állam (Európai Egyesült Államok) létrehozási igényével, részben a politikai mozgásoktól (pl. Brexit) függetlenül is – az </w:t>
      </w:r>
      <w:r w:rsidR="001A4DE2" w:rsidRPr="001A4DE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EU teljes földrajzi területére</w:t>
      </w:r>
      <w:r w:rsidR="001A4DE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kiterjedően</w:t>
      </w:r>
      <w:r w:rsidR="001A4DE2">
        <w:rPr>
          <w:rFonts w:ascii="Calibri" w:eastAsia="Times New Roman" w:hAnsi="Calibri" w:cs="Calibri"/>
          <w:sz w:val="24"/>
          <w:szCs w:val="24"/>
          <w:lang w:eastAsia="hu-HU"/>
        </w:rPr>
        <w:t xml:space="preserve"> (tehát a korábbi Tizenötök államterületére is) és az EU – val szerződő Európán kívüli országokra – </w:t>
      </w:r>
      <w:r w:rsidR="001A4DE2" w:rsidRPr="001A4DE2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bármely rendeltetésű földet tőkének minősít</w:t>
      </w:r>
      <w:r w:rsidR="001A4DE2">
        <w:rPr>
          <w:rFonts w:ascii="Calibri" w:eastAsia="Times New Roman" w:hAnsi="Calibri" w:cs="Calibri"/>
          <w:sz w:val="24"/>
          <w:szCs w:val="24"/>
          <w:lang w:eastAsia="hu-HU"/>
        </w:rPr>
        <w:t xml:space="preserve">. Ezek – a tőkeszabadsághoz kapcsolódó további szabadságjogok (vállalkozás és letelepedés szabadsága, stb.) címén korlátlanul forgalomképesek. </w:t>
      </w:r>
      <w:r w:rsidR="00307785">
        <w:rPr>
          <w:rFonts w:ascii="Calibri" w:eastAsia="Times New Roman" w:hAnsi="Calibri" w:cs="Calibri"/>
          <w:sz w:val="24"/>
          <w:szCs w:val="24"/>
          <w:lang w:eastAsia="hu-HU"/>
        </w:rPr>
        <w:t xml:space="preserve"> Ezzel a Tizenötök önrendelkezése is megszűnik a saját államterületükre. (Ld. részletesen T. E. : Országvesztés törvényesített földrablással. Agroinform K. Bp. 2015 . 1- 190. o.) </w:t>
      </w:r>
    </w:p>
    <w:p w:rsidR="000E5208" w:rsidRDefault="00307785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3/ A tőke világuralmi építkezésének az EU történetében is végbemenő hét évtizedes folyamata azonban nem korlátozódik a jelzett szakaszokra, hanem a XXI. századtól </w:t>
      </w:r>
      <w:r w:rsidRPr="00307785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merőben új minőségben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folytatódik.  Itt – a nyomon követéshez – érdemes </w:t>
      </w:r>
      <w:r w:rsidR="00C62340">
        <w:rPr>
          <w:rFonts w:ascii="Calibri" w:eastAsia="Times New Roman" w:hAnsi="Calibri" w:cs="Calibri"/>
          <w:sz w:val="24"/>
          <w:szCs w:val="24"/>
          <w:lang w:eastAsia="hu-HU"/>
        </w:rPr>
        <w:t xml:space="preserve">megkülönböztetni az </w:t>
      </w:r>
      <w:r w:rsidR="00C62340" w:rsidRPr="00B51B7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NWO nyílt meghirdetéséig</w:t>
      </w:r>
      <w:r w:rsidR="00C62340">
        <w:rPr>
          <w:rFonts w:ascii="Calibri" w:eastAsia="Times New Roman" w:hAnsi="Calibri" w:cs="Calibri"/>
          <w:sz w:val="24"/>
          <w:szCs w:val="24"/>
          <w:lang w:eastAsia="hu-HU"/>
        </w:rPr>
        <w:t xml:space="preserve"> (ld. The Great Reset) terjedő, ill. az </w:t>
      </w:r>
      <w:r w:rsidR="00C62340" w:rsidRPr="00B51B7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azt követő</w:t>
      </w:r>
      <w:r w:rsidR="00C6234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1B7C">
        <w:rPr>
          <w:rFonts w:ascii="Calibri" w:eastAsia="Times New Roman" w:hAnsi="Calibri" w:cs="Calibri"/>
          <w:sz w:val="24"/>
          <w:szCs w:val="24"/>
          <w:lang w:eastAsia="hu-HU"/>
        </w:rPr>
        <w:t>(</w:t>
      </w:r>
      <w:r w:rsidR="00C62340">
        <w:rPr>
          <w:rFonts w:ascii="Calibri" w:eastAsia="Times New Roman" w:hAnsi="Calibri" w:cs="Calibri"/>
          <w:sz w:val="24"/>
          <w:szCs w:val="24"/>
          <w:lang w:eastAsia="hu-HU"/>
        </w:rPr>
        <w:t>a napjainkban végrehajtott és 10 éven belüli végrehajtásra kitűzött, a szigorú forgatókönyveket</w:t>
      </w:r>
      <w:r w:rsidR="00B51B7C">
        <w:rPr>
          <w:rFonts w:ascii="Calibri" w:eastAsia="Times New Roman" w:hAnsi="Calibri" w:cs="Calibri"/>
          <w:sz w:val="24"/>
          <w:szCs w:val="24"/>
          <w:lang w:eastAsia="hu-HU"/>
        </w:rPr>
        <w:t xml:space="preserve"> megvalósító) </w:t>
      </w:r>
      <w:r w:rsidR="00C62340">
        <w:rPr>
          <w:rFonts w:ascii="Calibri" w:eastAsia="Times New Roman" w:hAnsi="Calibri" w:cs="Calibri"/>
          <w:sz w:val="24"/>
          <w:szCs w:val="24"/>
          <w:lang w:eastAsia="hu-HU"/>
        </w:rPr>
        <w:t>folyamatot.</w:t>
      </w:r>
      <w:r w:rsidR="004E3977">
        <w:rPr>
          <w:rFonts w:ascii="Calibri" w:eastAsia="Times New Roman" w:hAnsi="Calibri" w:cs="Calibri"/>
          <w:sz w:val="24"/>
          <w:szCs w:val="24"/>
          <w:lang w:eastAsia="hu-HU"/>
        </w:rPr>
        <w:t xml:space="preserve"> Mindkettő közös vonása, hogy a globális tőkeerő (pontosítva: a világnépesség 1- 2 % - át kitevő</w:t>
      </w:r>
      <w:r w:rsidR="00FC17EC">
        <w:rPr>
          <w:rFonts w:ascii="Calibri" w:eastAsia="Times New Roman" w:hAnsi="Calibri" w:cs="Calibri"/>
          <w:sz w:val="24"/>
          <w:szCs w:val="24"/>
          <w:lang w:eastAsia="hu-HU"/>
        </w:rPr>
        <w:t xml:space="preserve"> és a földi javak kb. 90 % - át birtokló,</w:t>
      </w:r>
      <w:r w:rsidR="004E3977">
        <w:rPr>
          <w:rFonts w:ascii="Calibri" w:eastAsia="Times New Roman" w:hAnsi="Calibri" w:cs="Calibri"/>
          <w:sz w:val="24"/>
          <w:szCs w:val="24"/>
          <w:lang w:eastAsia="hu-HU"/>
        </w:rPr>
        <w:t xml:space="preserve"> tőketulajdonos háttérhatalmi elit) </w:t>
      </w:r>
      <w:r w:rsidR="004E3977" w:rsidRPr="000E52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 földtulajdon megszerzéséhez már nem színleli</w:t>
      </w:r>
      <w:r w:rsidR="00FC17EC" w:rsidRPr="000E52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a törvényesség megtartását</w:t>
      </w:r>
      <w:r w:rsidR="00FC17EC">
        <w:rPr>
          <w:rFonts w:ascii="Calibri" w:eastAsia="Times New Roman" w:hAnsi="Calibri" w:cs="Calibri"/>
          <w:sz w:val="24"/>
          <w:szCs w:val="24"/>
          <w:lang w:eastAsia="hu-HU"/>
        </w:rPr>
        <w:t>, hanem – a nyílt erőszakig terjedő uralmi eszközeivel, a</w:t>
      </w:r>
      <w:r w:rsidR="001C0374">
        <w:rPr>
          <w:rFonts w:ascii="Calibri" w:eastAsia="Times New Roman" w:hAnsi="Calibri" w:cs="Calibri"/>
          <w:sz w:val="24"/>
          <w:szCs w:val="24"/>
          <w:lang w:eastAsia="hu-HU"/>
        </w:rPr>
        <w:t>z állam mint</w:t>
      </w:r>
      <w:r w:rsidR="00FC17EC">
        <w:rPr>
          <w:rFonts w:ascii="Calibri" w:eastAsia="Times New Roman" w:hAnsi="Calibri" w:cs="Calibri"/>
          <w:sz w:val="24"/>
          <w:szCs w:val="24"/>
          <w:lang w:eastAsia="hu-HU"/>
        </w:rPr>
        <w:t xml:space="preserve"> közhatalmi kényszer magán – kisajátításával és az alapvető emberi jogok durva megsemmisítésével jut a föld feletti kizárólagos uralmához.  </w:t>
      </w:r>
      <w:r w:rsidR="004E397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07785" w:rsidRDefault="004E3977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a// </w:t>
      </w:r>
      <w:r w:rsidR="00FC17EC">
        <w:rPr>
          <w:rFonts w:ascii="Calibri" w:eastAsia="Times New Roman" w:hAnsi="Calibri" w:cs="Calibri"/>
          <w:sz w:val="24"/>
          <w:szCs w:val="24"/>
          <w:lang w:eastAsia="hu-HU"/>
        </w:rPr>
        <w:t xml:space="preserve">A folyamat bevezető szakaszát  a </w:t>
      </w:r>
      <w:r w:rsidR="00FC17EC" w:rsidRPr="00FC17EC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földrablások </w:t>
      </w:r>
      <w:r w:rsidR="00FC17EC">
        <w:rPr>
          <w:rFonts w:ascii="Calibri" w:eastAsia="Times New Roman" w:hAnsi="Calibri" w:cs="Calibri"/>
          <w:sz w:val="24"/>
          <w:szCs w:val="24"/>
          <w:lang w:eastAsia="hu-HU"/>
        </w:rPr>
        <w:t>(land grabbing, land rush)</w:t>
      </w:r>
      <w:r w:rsidR="00A31F06">
        <w:rPr>
          <w:rFonts w:ascii="Calibri" w:eastAsia="Times New Roman" w:hAnsi="Calibri" w:cs="Calibri"/>
          <w:sz w:val="24"/>
          <w:szCs w:val="24"/>
          <w:lang w:eastAsia="hu-HU"/>
        </w:rPr>
        <w:t xml:space="preserve"> adják, amelyek változatos típusai nem korlátozódnak az Európán kívüli világrészekre, hanem a saját földrészünkön is végbementek és folynak.</w:t>
      </w:r>
      <w:r w:rsidR="001C0374">
        <w:rPr>
          <w:rFonts w:ascii="Calibri" w:eastAsia="Times New Roman" w:hAnsi="Calibri" w:cs="Calibri"/>
          <w:sz w:val="24"/>
          <w:szCs w:val="24"/>
          <w:lang w:eastAsia="hu-HU"/>
        </w:rPr>
        <w:t xml:space="preserve"> Az emberi jogsértések orvoslásáért és a földrablások megfékezéséért az EP is kénytelen volt fellépni. (Mivel kötelező jogot nem alkothat, hanem csak javaslatokkal élhet, a tiltakozása eredménytelen. </w:t>
      </w:r>
      <w:r w:rsidR="00A31F06">
        <w:rPr>
          <w:rFonts w:ascii="Calibri" w:eastAsia="Times New Roman" w:hAnsi="Calibri" w:cs="Calibri"/>
          <w:sz w:val="24"/>
          <w:szCs w:val="24"/>
          <w:lang w:eastAsia="hu-HU"/>
        </w:rPr>
        <w:t>Ld. T. E.: Korunk földkérdése, létünk a tét. i. m.) Már ennek a - gazdag szakirodalomra támaszkodó – elemzése feltárta: a háttérha</w:t>
      </w:r>
      <w:r w:rsidR="00EB7740">
        <w:rPr>
          <w:rFonts w:ascii="Calibri" w:eastAsia="Times New Roman" w:hAnsi="Calibri" w:cs="Calibri"/>
          <w:sz w:val="24"/>
          <w:szCs w:val="24"/>
          <w:lang w:eastAsia="hu-HU"/>
        </w:rPr>
        <w:t>talom földszerzése elemi eszköz</w:t>
      </w:r>
      <w:r w:rsidR="00A31F06">
        <w:rPr>
          <w:rFonts w:ascii="Calibri" w:eastAsia="Times New Roman" w:hAnsi="Calibri" w:cs="Calibri"/>
          <w:sz w:val="24"/>
          <w:szCs w:val="24"/>
          <w:lang w:eastAsia="hu-HU"/>
        </w:rPr>
        <w:t xml:space="preserve"> a </w:t>
      </w:r>
      <w:r w:rsidR="00A31F06" w:rsidRPr="00A31F0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világélelmezési oligopólium</w:t>
      </w:r>
      <w:r w:rsidR="001C037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</w:t>
      </w:r>
      <w:r w:rsidR="00EB774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EB7740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létrehozására azért, hogy</w:t>
      </w:r>
      <w:r w:rsidR="00A31F06">
        <w:rPr>
          <w:rFonts w:ascii="Calibri" w:eastAsia="Times New Roman" w:hAnsi="Calibri" w:cs="Calibri"/>
          <w:sz w:val="24"/>
          <w:szCs w:val="24"/>
          <w:lang w:eastAsia="hu-HU"/>
        </w:rPr>
        <w:t xml:space="preserve"> az ahhoz kötődő természeti és humán er</w:t>
      </w:r>
      <w:r w:rsidR="00EB7740">
        <w:rPr>
          <w:rFonts w:ascii="Calibri" w:eastAsia="Times New Roman" w:hAnsi="Calibri" w:cs="Calibri"/>
          <w:sz w:val="24"/>
          <w:szCs w:val="24"/>
          <w:lang w:eastAsia="hu-HU"/>
        </w:rPr>
        <w:t>őforrások fölötti rendelkezését</w:t>
      </w:r>
      <w:r w:rsidR="00A31F0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EB7740">
        <w:rPr>
          <w:rFonts w:ascii="Calibri" w:eastAsia="Times New Roman" w:hAnsi="Calibri" w:cs="Calibri"/>
          <w:sz w:val="24"/>
          <w:szCs w:val="24"/>
          <w:lang w:eastAsia="hu-HU"/>
        </w:rPr>
        <w:t>egyetlen döntési központban</w:t>
      </w:r>
      <w:r w:rsidR="00F05D0D">
        <w:rPr>
          <w:rFonts w:ascii="Calibri" w:eastAsia="Times New Roman" w:hAnsi="Calibri" w:cs="Calibri"/>
          <w:sz w:val="24"/>
          <w:szCs w:val="24"/>
          <w:lang w:eastAsia="hu-HU"/>
        </w:rPr>
        <w:t>, a saját magánérdekében, az emberiség leigázására</w:t>
      </w:r>
      <w:r w:rsidR="00EB7740">
        <w:rPr>
          <w:rFonts w:ascii="Calibri" w:eastAsia="Times New Roman" w:hAnsi="Calibri" w:cs="Calibri"/>
          <w:sz w:val="24"/>
          <w:szCs w:val="24"/>
          <w:lang w:eastAsia="hu-HU"/>
        </w:rPr>
        <w:t xml:space="preserve"> működtesse.</w:t>
      </w:r>
    </w:p>
    <w:p w:rsidR="00307E67" w:rsidRPr="00C73008" w:rsidRDefault="00A31F06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b// Az NWO –</w:t>
      </w:r>
      <w:r w:rsidR="001C0374">
        <w:rPr>
          <w:rFonts w:ascii="Calibri" w:eastAsia="Times New Roman" w:hAnsi="Calibri" w:cs="Calibri"/>
          <w:sz w:val="24"/>
          <w:szCs w:val="24"/>
          <w:lang w:eastAsia="hu-HU"/>
        </w:rPr>
        <w:t xml:space="preserve"> d</w:t>
      </w:r>
      <w:r>
        <w:rPr>
          <w:rFonts w:ascii="Calibri" w:eastAsia="Times New Roman" w:hAnsi="Calibri" w:cs="Calibri"/>
          <w:sz w:val="24"/>
          <w:szCs w:val="24"/>
          <w:lang w:eastAsia="hu-HU"/>
        </w:rPr>
        <w:t>iktátum</w:t>
      </w:r>
      <w:r w:rsidR="001C0374">
        <w:rPr>
          <w:rFonts w:ascii="Calibri" w:eastAsia="Times New Roman" w:hAnsi="Calibri" w:cs="Calibri"/>
          <w:sz w:val="24"/>
          <w:szCs w:val="24"/>
          <w:lang w:eastAsia="hu-HU"/>
        </w:rPr>
        <w:t xml:space="preserve"> nyílt megjelenésével a földr</w:t>
      </w:r>
      <w:r w:rsidR="00F05D0D">
        <w:rPr>
          <w:rFonts w:ascii="Calibri" w:eastAsia="Times New Roman" w:hAnsi="Calibri" w:cs="Calibri"/>
          <w:sz w:val="24"/>
          <w:szCs w:val="24"/>
          <w:lang w:eastAsia="hu-HU"/>
        </w:rPr>
        <w:t xml:space="preserve">ablások célképzete és módszerei többé nem titkolhatóak, hanem a társadalom számára is </w:t>
      </w:r>
      <w:r w:rsidR="001C0374">
        <w:rPr>
          <w:rFonts w:ascii="Calibri" w:eastAsia="Times New Roman" w:hAnsi="Calibri" w:cs="Calibri"/>
          <w:sz w:val="24"/>
          <w:szCs w:val="24"/>
          <w:lang w:eastAsia="hu-HU"/>
        </w:rPr>
        <w:t>világossá váltak.</w:t>
      </w:r>
      <w:r w:rsidR="00EB774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5B5ECF">
        <w:rPr>
          <w:rFonts w:ascii="Calibri" w:eastAsia="Times New Roman" w:hAnsi="Calibri" w:cs="Calibri"/>
          <w:sz w:val="24"/>
          <w:szCs w:val="24"/>
          <w:lang w:eastAsia="hu-HU"/>
        </w:rPr>
        <w:t>A nemzetállamok kiiktatása nem öncél, hanem annak előfeltétele, hogy a – B. Gates és K. Schwab nevével fémjelzett – háttérhatalom (az ismert eszköztárával) az újkori civilizáció történetében eddig legfeljebb a halál – civilizáció utópiáj</w:t>
      </w:r>
      <w:r w:rsidR="002C5DE8">
        <w:rPr>
          <w:rFonts w:ascii="Calibri" w:eastAsia="Times New Roman" w:hAnsi="Calibri" w:cs="Calibri"/>
          <w:sz w:val="24"/>
          <w:szCs w:val="24"/>
          <w:lang w:eastAsia="hu-HU"/>
        </w:rPr>
        <w:t>a szerint</w:t>
      </w:r>
      <w:r w:rsidR="005B5ECF">
        <w:rPr>
          <w:rFonts w:ascii="Calibri" w:eastAsia="Times New Roman" w:hAnsi="Calibri" w:cs="Calibri"/>
          <w:sz w:val="24"/>
          <w:szCs w:val="24"/>
          <w:lang w:eastAsia="hu-HU"/>
        </w:rPr>
        <w:t xml:space="preserve"> elképzelt, </w:t>
      </w:r>
      <w:r w:rsidR="005B5ECF" w:rsidRPr="002C5DE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új rabszolgatársadalmat</w:t>
      </w:r>
      <w:r w:rsidR="002C5DE8" w:rsidRPr="002C5DE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létesítsen.</w:t>
      </w:r>
      <w:r w:rsidR="002C5DE8" w:rsidRPr="00307E6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307E67" w:rsidRPr="00307E67">
        <w:rPr>
          <w:rFonts w:ascii="Calibri" w:eastAsia="Times New Roman" w:hAnsi="Calibri" w:cs="Calibri"/>
          <w:sz w:val="24"/>
          <w:szCs w:val="24"/>
          <w:lang w:eastAsia="hu-HU"/>
        </w:rPr>
        <w:t>Ez</w:t>
      </w:r>
      <w:r w:rsidR="00307E67">
        <w:rPr>
          <w:rFonts w:ascii="Calibri" w:eastAsia="Times New Roman" w:hAnsi="Calibri" w:cs="Calibri"/>
          <w:sz w:val="24"/>
          <w:szCs w:val="24"/>
          <w:lang w:eastAsia="hu-HU"/>
        </w:rPr>
        <w:t xml:space="preserve"> többé nem néhány pszichopata őrült, démoni lázálma, hanem az egész világot a hatalmi igájába gyűrő, intézményi valóság, amit az </w:t>
      </w:r>
      <w:r w:rsidR="00307E67" w:rsidRPr="00C730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NWO tervezése 2030 – ig kíván beteljesíteni.</w:t>
      </w:r>
    </w:p>
    <w:p w:rsidR="00A31F06" w:rsidRDefault="00307E67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Ennek az átfogó</w:t>
      </w:r>
      <w:r w:rsidR="00C73008">
        <w:rPr>
          <w:rFonts w:ascii="Calibri" w:eastAsia="Times New Roman" w:hAnsi="Calibri" w:cs="Calibri"/>
          <w:sz w:val="24"/>
          <w:szCs w:val="24"/>
          <w:lang w:eastAsia="hu-HU"/>
        </w:rPr>
        <w:t>, célvezérelt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folyamatnak egyik oszlopa a háttérhatalmi tőketulajdon számára a </w:t>
      </w:r>
      <w:r w:rsidR="001B49DE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föld és a világélelmezés</w:t>
      </w:r>
      <w:r w:rsidRPr="00C730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fö</w:t>
      </w:r>
      <w:r w:rsidR="00C73008" w:rsidRPr="00C730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lötti egyeduralom</w:t>
      </w:r>
      <w:r w:rsidR="00C73008">
        <w:rPr>
          <w:rFonts w:ascii="Calibri" w:eastAsia="Times New Roman" w:hAnsi="Calibri" w:cs="Calibri"/>
          <w:sz w:val="24"/>
          <w:szCs w:val="24"/>
          <w:lang w:eastAsia="hu-HU"/>
        </w:rPr>
        <w:t xml:space="preserve"> biztosítása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031FCC">
        <w:rPr>
          <w:rFonts w:ascii="Calibri" w:eastAsia="Times New Roman" w:hAnsi="Calibri" w:cs="Calibri"/>
          <w:sz w:val="24"/>
          <w:szCs w:val="24"/>
          <w:lang w:eastAsia="hu-HU"/>
        </w:rPr>
        <w:t xml:space="preserve"> Bármennyire is abszurd</w:t>
      </w:r>
      <w:r w:rsidR="00C73008">
        <w:rPr>
          <w:rFonts w:ascii="Calibri" w:eastAsia="Times New Roman" w:hAnsi="Calibri" w:cs="Calibri"/>
          <w:sz w:val="24"/>
          <w:szCs w:val="24"/>
          <w:lang w:eastAsia="hu-HU"/>
        </w:rPr>
        <w:t>nak tűnő</w:t>
      </w:r>
      <w:r w:rsidR="00031FCC">
        <w:rPr>
          <w:rFonts w:ascii="Calibri" w:eastAsia="Times New Roman" w:hAnsi="Calibri" w:cs="Calibri"/>
          <w:sz w:val="24"/>
          <w:szCs w:val="24"/>
          <w:lang w:eastAsia="hu-HU"/>
        </w:rPr>
        <w:t xml:space="preserve"> vállalkozás, mégis ez történik: </w:t>
      </w:r>
      <w:r w:rsidR="00031FCC" w:rsidRPr="003F030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az NWO a 10 – 12 ezer</w:t>
      </w:r>
      <w:r w:rsidR="00057C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</w:t>
      </w:r>
      <w:r w:rsidR="00031FCC" w:rsidRPr="003F030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éves</w:t>
      </w:r>
      <w:r w:rsidR="00C730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, ősi</w:t>
      </w:r>
      <w:r w:rsidR="00031FCC" w:rsidRPr="003F030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agrikultúrát gyökeresen le akarja rombolni, a földművelést és az állattenyésztést egyaránt megszűntetné, amelyek helyett az emberiséget – laboratóriumokban kikísérletezett</w:t>
      </w:r>
      <w:r w:rsidR="00C730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és a tudomány szerint bizonyítottan, az emberi táplálkozásra alkalmatlan, sőt mérgező</w:t>
      </w:r>
      <w:r w:rsidR="00031FCC" w:rsidRPr="003F030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– szintetikus (művi) élelmisz</w:t>
      </w:r>
      <w:r w:rsidR="00C730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erek fogyasztására kényszeríti</w:t>
      </w:r>
      <w:r w:rsidR="00031FCC" w:rsidRPr="003F0301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.</w:t>
      </w:r>
      <w:r w:rsidR="00031FCC">
        <w:rPr>
          <w:rFonts w:ascii="Calibri" w:eastAsia="Times New Roman" w:hAnsi="Calibri" w:cs="Calibri"/>
          <w:sz w:val="24"/>
          <w:szCs w:val="24"/>
          <w:lang w:eastAsia="hu-HU"/>
        </w:rPr>
        <w:t xml:space="preserve"> (Ld. néhány intézményi jelzését: T. E.: Rekviem a magyar mezőgazdaság jövőjéért. Eredetileg a Százak idei kötete közölte. Itt mellékelem.)</w:t>
      </w:r>
      <w:r w:rsidR="00C73008">
        <w:rPr>
          <w:rFonts w:ascii="Calibri" w:eastAsia="Times New Roman" w:hAnsi="Calibri" w:cs="Calibri"/>
          <w:sz w:val="24"/>
          <w:szCs w:val="24"/>
          <w:lang w:eastAsia="hu-HU"/>
        </w:rPr>
        <w:t xml:space="preserve"> A kitűzött célfeladat -  amelynek megvalósításán a B. Gates és más háttérhatalmi</w:t>
      </w:r>
      <w:r w:rsidR="00ED56B0">
        <w:rPr>
          <w:rFonts w:ascii="Calibri" w:eastAsia="Times New Roman" w:hAnsi="Calibri" w:cs="Calibri"/>
          <w:sz w:val="24"/>
          <w:szCs w:val="24"/>
          <w:lang w:eastAsia="hu-HU"/>
        </w:rPr>
        <w:t xml:space="preserve"> irányítók által birtokolt (megvett) nemzetközi szervezetek (ENSZ, WTO, WHO stb.) hálózata lázas </w:t>
      </w:r>
      <w:r w:rsidR="001B49DE">
        <w:rPr>
          <w:rFonts w:ascii="Calibri" w:eastAsia="Times New Roman" w:hAnsi="Calibri" w:cs="Calibri"/>
          <w:sz w:val="24"/>
          <w:szCs w:val="24"/>
          <w:lang w:eastAsia="hu-HU"/>
        </w:rPr>
        <w:t>sietséggel</w:t>
      </w:r>
      <w:r w:rsidR="00ED56B0">
        <w:rPr>
          <w:rFonts w:ascii="Calibri" w:eastAsia="Times New Roman" w:hAnsi="Calibri" w:cs="Calibri"/>
          <w:sz w:val="24"/>
          <w:szCs w:val="24"/>
          <w:lang w:eastAsia="hu-HU"/>
        </w:rPr>
        <w:t xml:space="preserve"> dolgozik </w:t>
      </w:r>
      <w:r w:rsidR="001B49DE">
        <w:rPr>
          <w:rFonts w:ascii="Calibri" w:eastAsia="Times New Roman" w:hAnsi="Calibri" w:cs="Calibri"/>
          <w:sz w:val="24"/>
          <w:szCs w:val="24"/>
          <w:lang w:eastAsia="hu-HU"/>
        </w:rPr>
        <w:t>–</w:t>
      </w:r>
      <w:r w:rsidR="00ED56B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B49DE">
        <w:rPr>
          <w:rFonts w:ascii="Calibri" w:eastAsia="Times New Roman" w:hAnsi="Calibri" w:cs="Calibri"/>
          <w:sz w:val="24"/>
          <w:szCs w:val="24"/>
          <w:lang w:eastAsia="hu-HU"/>
        </w:rPr>
        <w:t xml:space="preserve">a föld, az ingatlan és az egyéb tartós javak (res immobiles) tulajdonában is gyökeres változást hoz. Az </w:t>
      </w:r>
      <w:r w:rsidR="001B49DE" w:rsidRPr="001B49DE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új tulajdoni képlet</w:t>
      </w:r>
      <w:r w:rsidR="001B49DE">
        <w:rPr>
          <w:rFonts w:ascii="Calibri" w:eastAsia="Times New Roman" w:hAnsi="Calibri" w:cs="Calibri"/>
          <w:sz w:val="24"/>
          <w:szCs w:val="24"/>
          <w:lang w:eastAsia="hu-HU"/>
        </w:rPr>
        <w:t xml:space="preserve"> annyiban azonos a kommunizmus tulajdoni szerveződésével, hogy a </w:t>
      </w:r>
      <w:r w:rsidR="001B49DE" w:rsidRPr="001B49DE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tulajdon nélküliség látszatát</w:t>
      </w:r>
      <w:r w:rsidR="001B49DE">
        <w:rPr>
          <w:rFonts w:ascii="Calibri" w:eastAsia="Times New Roman" w:hAnsi="Calibri" w:cs="Calibri"/>
          <w:sz w:val="24"/>
          <w:szCs w:val="24"/>
          <w:lang w:eastAsia="hu-HU"/>
        </w:rPr>
        <w:t xml:space="preserve"> fenntartja a háttérhatalmi uralom tőketulajdonosai számára.</w:t>
      </w:r>
      <w:r w:rsidR="008D2BAB">
        <w:rPr>
          <w:rFonts w:ascii="Calibri" w:eastAsia="Times New Roman" w:hAnsi="Calibri" w:cs="Calibri"/>
          <w:sz w:val="24"/>
          <w:szCs w:val="24"/>
          <w:lang w:eastAsia="hu-HU"/>
        </w:rPr>
        <w:t xml:space="preserve"> (Ui. a „társadalmi tulajdon” mindenkié, ténylegesen senkié volt, a Max Weber-i elsajátítás intézményével viszont egy szűk párthatalmi elit uralta. /Az </w:t>
      </w:r>
      <w:r w:rsidR="008D2BAB" w:rsidRPr="008D2BAB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elsajátítás </w:t>
      </w:r>
      <w:r w:rsidR="008D2BAB">
        <w:rPr>
          <w:rFonts w:ascii="Calibri" w:eastAsia="Times New Roman" w:hAnsi="Calibri" w:cs="Calibri"/>
          <w:sz w:val="24"/>
          <w:szCs w:val="24"/>
          <w:lang w:eastAsia="hu-HU"/>
        </w:rPr>
        <w:t xml:space="preserve">szociológiai fogalmáról ma sem feledkezhetünk meg, mert az – bármely jogdogmatikai ködösítést áttörve – élesen megvilágítja az </w:t>
      </w:r>
      <w:r w:rsidR="008D2BAB" w:rsidRPr="00057C08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uralmi helyzet lényegét</w:t>
      </w:r>
      <w:r w:rsidR="008D2BAB">
        <w:rPr>
          <w:rFonts w:ascii="Calibri" w:eastAsia="Times New Roman" w:hAnsi="Calibri" w:cs="Calibri"/>
          <w:sz w:val="24"/>
          <w:szCs w:val="24"/>
          <w:lang w:eastAsia="hu-HU"/>
        </w:rPr>
        <w:t>: ez egy kifelé zárt társadalmi kapcsolat, ami egyedül a benne résztvevő alanyok számára biztosítja a hasznos javak és értékek birtoklását, ill. azok fölött a kizárólagos – monopol – uralmat./) A világkormány urait a néhány multi</w:t>
      </w:r>
      <w:r w:rsidR="00057C08">
        <w:rPr>
          <w:rFonts w:ascii="Calibri" w:eastAsia="Times New Roman" w:hAnsi="Calibri" w:cs="Calibri"/>
          <w:sz w:val="24"/>
          <w:szCs w:val="24"/>
          <w:lang w:eastAsia="hu-HU"/>
        </w:rPr>
        <w:t xml:space="preserve"> - </w:t>
      </w:r>
      <w:r w:rsidR="008D2BAB">
        <w:rPr>
          <w:rFonts w:ascii="Calibri" w:eastAsia="Times New Roman" w:hAnsi="Calibri" w:cs="Calibri"/>
          <w:sz w:val="24"/>
          <w:szCs w:val="24"/>
          <w:lang w:eastAsia="hu-HU"/>
        </w:rPr>
        <w:t>milliárdos teszi ki</w:t>
      </w:r>
      <w:r w:rsidR="001E2804">
        <w:rPr>
          <w:rFonts w:ascii="Calibri" w:eastAsia="Times New Roman" w:hAnsi="Calibri" w:cs="Calibri"/>
          <w:sz w:val="24"/>
          <w:szCs w:val="24"/>
          <w:lang w:eastAsia="hu-HU"/>
        </w:rPr>
        <w:t xml:space="preserve"> (köztük az a hat ember, akinek a vagyona a földi javak 50</w:t>
      </w:r>
      <w:r w:rsidR="00057C08">
        <w:rPr>
          <w:rFonts w:ascii="Calibri" w:eastAsia="Times New Roman" w:hAnsi="Calibri" w:cs="Calibri"/>
          <w:sz w:val="24"/>
          <w:szCs w:val="24"/>
          <w:lang w:eastAsia="hu-HU"/>
        </w:rPr>
        <w:t xml:space="preserve"> %- át meghaladja). Ugyanakkor </w:t>
      </w:r>
      <w:r w:rsidR="001E2804">
        <w:rPr>
          <w:rFonts w:ascii="Calibri" w:eastAsia="Times New Roman" w:hAnsi="Calibri" w:cs="Calibri"/>
          <w:sz w:val="24"/>
          <w:szCs w:val="24"/>
          <w:lang w:eastAsia="hu-HU"/>
        </w:rPr>
        <w:t xml:space="preserve">az őket szolgáló jogtechnikák (pl. régóta a vagyon zömének alapítványokba utalása, közjavakként csalárd feltüntetése) eléri, hogy vagyontömegük a „közjót szolgáló” </w:t>
      </w:r>
      <w:r w:rsidR="001E2804" w:rsidRPr="001E280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technikai – szervezeti tulajdonként</w:t>
      </w:r>
      <w:r w:rsidR="001E2804">
        <w:rPr>
          <w:rFonts w:ascii="Calibri" w:eastAsia="Times New Roman" w:hAnsi="Calibri" w:cs="Calibri"/>
          <w:sz w:val="24"/>
          <w:szCs w:val="24"/>
          <w:lang w:eastAsia="hu-HU"/>
        </w:rPr>
        <w:t xml:space="preserve"> jelenjék meg, ami látszólag az egész tár</w:t>
      </w:r>
      <w:r w:rsidR="00057C08">
        <w:rPr>
          <w:rFonts w:ascii="Calibri" w:eastAsia="Times New Roman" w:hAnsi="Calibri" w:cs="Calibri"/>
          <w:sz w:val="24"/>
          <w:szCs w:val="24"/>
          <w:lang w:eastAsia="hu-HU"/>
        </w:rPr>
        <w:t>sadalmat szolgálja és ilyen címen nem magántulajdon.</w:t>
      </w:r>
    </w:p>
    <w:p w:rsidR="001E2804" w:rsidRDefault="001E2804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Másfelől azonban a </w:t>
      </w:r>
      <w:r w:rsidRPr="001E2804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tulajdon nélküliség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itt már nem látszat, hanem – teljes jogfosztással – megvalósul az egész társadalom terhére. A Great Reset forgatókönyvei</w:t>
      </w:r>
      <w:r w:rsidR="00057C08">
        <w:rPr>
          <w:rFonts w:ascii="Calibri" w:eastAsia="Times New Roman" w:hAnsi="Calibri" w:cs="Calibri"/>
          <w:sz w:val="24"/>
          <w:szCs w:val="24"/>
          <w:lang w:eastAsia="hu-HU"/>
        </w:rPr>
        <w:t xml:space="preserve"> egyértelmű</w:t>
      </w:r>
      <w:r w:rsidR="0091615F">
        <w:rPr>
          <w:rFonts w:ascii="Calibri" w:eastAsia="Times New Roman" w:hAnsi="Calibri" w:cs="Calibri"/>
          <w:sz w:val="24"/>
          <w:szCs w:val="24"/>
          <w:lang w:eastAsia="hu-HU"/>
        </w:rPr>
        <w:t>vé teszik (</w:t>
      </w:r>
      <w:r w:rsidR="00057C08">
        <w:rPr>
          <w:rFonts w:ascii="Calibri" w:eastAsia="Times New Roman" w:hAnsi="Calibri" w:cs="Calibri"/>
          <w:sz w:val="24"/>
          <w:szCs w:val="24"/>
          <w:lang w:eastAsia="hu-HU"/>
        </w:rPr>
        <w:t>propagandájuk ezt fontos</w:t>
      </w:r>
      <w:r w:rsidR="0091615F">
        <w:rPr>
          <w:rFonts w:ascii="Calibri" w:eastAsia="Times New Roman" w:hAnsi="Calibri" w:cs="Calibri"/>
          <w:sz w:val="24"/>
          <w:szCs w:val="24"/>
          <w:lang w:eastAsia="hu-HU"/>
        </w:rPr>
        <w:t xml:space="preserve"> közérdekű</w:t>
      </w:r>
      <w:r w:rsidR="00057C08">
        <w:rPr>
          <w:rFonts w:ascii="Calibri" w:eastAsia="Times New Roman" w:hAnsi="Calibri" w:cs="Calibri"/>
          <w:sz w:val="24"/>
          <w:szCs w:val="24"/>
          <w:lang w:eastAsia="hu-HU"/>
        </w:rPr>
        <w:t xml:space="preserve"> vívmányként adja elő): a magántulajdon megszűnik, bárki a javakon (ingatlan, stb.) csak ha</w:t>
      </w:r>
      <w:r w:rsidR="0091615F">
        <w:rPr>
          <w:rFonts w:ascii="Calibri" w:eastAsia="Times New Roman" w:hAnsi="Calibri" w:cs="Calibri"/>
          <w:sz w:val="24"/>
          <w:szCs w:val="24"/>
          <w:lang w:eastAsia="hu-HU"/>
        </w:rPr>
        <w:t>sz</w:t>
      </w:r>
      <w:r w:rsidR="00057C08">
        <w:rPr>
          <w:rFonts w:ascii="Calibri" w:eastAsia="Times New Roman" w:hAnsi="Calibri" w:cs="Calibri"/>
          <w:sz w:val="24"/>
          <w:szCs w:val="24"/>
          <w:lang w:eastAsia="hu-HU"/>
        </w:rPr>
        <w:t>nálati jogot</w:t>
      </w:r>
      <w:r w:rsidR="0091615F">
        <w:rPr>
          <w:rFonts w:ascii="Calibri" w:eastAsia="Times New Roman" w:hAnsi="Calibri" w:cs="Calibri"/>
          <w:sz w:val="24"/>
          <w:szCs w:val="24"/>
          <w:lang w:eastAsia="hu-HU"/>
        </w:rPr>
        <w:t xml:space="preserve"> szerezhet, aminek feltételeit saját szempontrendszere alapján, az egyes személyek megfelelőségét osztályozva, a világkormány szabja meg. A valóságra vetítve ez azt jelenti, hogy </w:t>
      </w:r>
      <w:r w:rsidR="0091615F" w:rsidRPr="00BF6D59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az alávetett rabszolgáknak nem lehet tulajdona, hanem csak a rabszolga</w:t>
      </w:r>
      <w:r w:rsidR="00A771F4" w:rsidRPr="00BF6D59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-</w:t>
      </w:r>
      <w:r w:rsidR="0091615F" w:rsidRPr="00BF6D59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tartóknak,</w:t>
      </w:r>
      <w:r w:rsidR="0091615F">
        <w:rPr>
          <w:rFonts w:ascii="Calibri" w:eastAsia="Times New Roman" w:hAnsi="Calibri" w:cs="Calibri"/>
          <w:sz w:val="24"/>
          <w:szCs w:val="24"/>
          <w:lang w:eastAsia="hu-HU"/>
        </w:rPr>
        <w:t xml:space="preserve"> akik egyrészt a földi javaknak akkor is kizárólagos tulajdonosai, ha </w:t>
      </w:r>
      <w:r w:rsidR="00BF6D59">
        <w:rPr>
          <w:rFonts w:ascii="Calibri" w:eastAsia="Times New Roman" w:hAnsi="Calibri" w:cs="Calibri"/>
          <w:sz w:val="24"/>
          <w:szCs w:val="24"/>
          <w:lang w:eastAsia="hu-HU"/>
        </w:rPr>
        <w:t xml:space="preserve">ezt a jogcímet az őket </w:t>
      </w:r>
      <w:r w:rsidR="0091615F">
        <w:rPr>
          <w:rFonts w:ascii="Calibri" w:eastAsia="Times New Roman" w:hAnsi="Calibri" w:cs="Calibri"/>
          <w:sz w:val="24"/>
          <w:szCs w:val="24"/>
          <w:lang w:eastAsia="hu-HU"/>
        </w:rPr>
        <w:t xml:space="preserve"> megillető elsajátítás</w:t>
      </w:r>
      <w:r w:rsidR="00BF6D59">
        <w:rPr>
          <w:rFonts w:ascii="Calibri" w:eastAsia="Times New Roman" w:hAnsi="Calibri" w:cs="Calibri"/>
          <w:sz w:val="24"/>
          <w:szCs w:val="24"/>
          <w:lang w:eastAsia="hu-HU"/>
        </w:rPr>
        <w:t>i monopólium</w:t>
      </w:r>
      <w:r w:rsidR="0091615F">
        <w:rPr>
          <w:rFonts w:ascii="Calibri" w:eastAsia="Times New Roman" w:hAnsi="Calibri" w:cs="Calibri"/>
          <w:sz w:val="24"/>
          <w:szCs w:val="24"/>
          <w:lang w:eastAsia="hu-HU"/>
        </w:rPr>
        <w:t xml:space="preserve"> elleplezi. Másrészt ez az uralmi pozíció – a mesterséges intelligencia technikai eszközeivel</w:t>
      </w:r>
      <w:r w:rsidR="00CD4D70">
        <w:rPr>
          <w:rFonts w:ascii="Calibri" w:eastAsia="Times New Roman" w:hAnsi="Calibri" w:cs="Calibri"/>
          <w:sz w:val="24"/>
          <w:szCs w:val="24"/>
          <w:lang w:eastAsia="hu-HU"/>
        </w:rPr>
        <w:t xml:space="preserve"> – </w:t>
      </w:r>
      <w:r w:rsidR="00CD4D70" w:rsidRPr="0057368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nemcsak a bolygó erőforrásai fölött garantálja részükre az egyeduralmat, hanem élet – halál urává teszi </w:t>
      </w:r>
      <w:r w:rsidR="00CD4D70" w:rsidRPr="0057368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lastRenderedPageBreak/>
        <w:t>őket a rabszolg</w:t>
      </w:r>
      <w:r w:rsidR="00A771F4" w:rsidRPr="0057368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 - társadalom</w:t>
      </w:r>
      <w:r w:rsidR="00CD4D70" w:rsidRPr="0057368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 xml:space="preserve"> fölött</w:t>
      </w:r>
      <w:r w:rsidR="00CD4D7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D741E7">
        <w:rPr>
          <w:rFonts w:ascii="Calibri" w:eastAsia="Times New Roman" w:hAnsi="Calibri" w:cs="Calibri"/>
          <w:sz w:val="24"/>
          <w:szCs w:val="24"/>
          <w:lang w:eastAsia="hu-HU"/>
        </w:rPr>
        <w:t xml:space="preserve"> A halálcivilizációt leleplező angolszász irodalomban ezt a folyamatot több tudós és kutató jelzi és elemzi. Pl. kiszivárgott: a </w:t>
      </w:r>
      <w:r w:rsidR="00D741E7" w:rsidRPr="0057368D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klímakatasztrófa</w:t>
      </w:r>
      <w:r w:rsidR="00D741E7">
        <w:rPr>
          <w:rFonts w:ascii="Calibri" w:eastAsia="Times New Roman" w:hAnsi="Calibri" w:cs="Calibri"/>
          <w:sz w:val="24"/>
          <w:szCs w:val="24"/>
          <w:lang w:eastAsia="hu-HU"/>
        </w:rPr>
        <w:t xml:space="preserve"> és elhárításának az ürügye az e</w:t>
      </w:r>
      <w:r w:rsidR="00BF6D59">
        <w:rPr>
          <w:rFonts w:ascii="Calibri" w:eastAsia="Times New Roman" w:hAnsi="Calibri" w:cs="Calibri"/>
          <w:sz w:val="24"/>
          <w:szCs w:val="24"/>
          <w:lang w:eastAsia="hu-HU"/>
        </w:rPr>
        <w:t>gyik döntő mozzanat az emberek</w:t>
      </w:r>
      <w:r w:rsidR="00D741E7">
        <w:rPr>
          <w:rFonts w:ascii="Calibri" w:eastAsia="Times New Roman" w:hAnsi="Calibri" w:cs="Calibri"/>
          <w:sz w:val="24"/>
          <w:szCs w:val="24"/>
          <w:lang w:eastAsia="hu-HU"/>
        </w:rPr>
        <w:t>nek arra kényszerítésére, hogy feladják az agrikultúrát, lemondjanak létszükségleteik ésszerű (nem pazarló és természetkímélő) kielégítéséről</w:t>
      </w:r>
      <w:r w:rsidR="00BF6D59">
        <w:rPr>
          <w:rFonts w:ascii="Calibri" w:eastAsia="Times New Roman" w:hAnsi="Calibri" w:cs="Calibri"/>
          <w:sz w:val="24"/>
          <w:szCs w:val="24"/>
          <w:lang w:eastAsia="hu-HU"/>
        </w:rPr>
        <w:t>, terület – és ingatlanhasználatukat – az ökológiai lábnyom el nem kerülhető, minimumra szűkítése címén – néhány m2 – re korlátozzák, véget vessenek a közlekedésnek, korábbi szokásaiknak, életvitelüknek, stb. Ugyanakkor a háttérhatalom az ENSZ útján 150 millió dollárt kíván az államok adófizetőiből kisajtolni arra, hogy a bolygó teljes földkészlete a világkormány elsajátítási uralma és ellenőrzése alá kerüljön.</w:t>
      </w:r>
    </w:p>
    <w:p w:rsidR="00C53AAF" w:rsidRDefault="0057368D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Mi köze van mind ennek a „Hunexit helyett Írexit?” c. írásnak? Annyi mindenképp, hogy aki a tisztán látók közé sorolja magát, az nem kerülheti meg a szembesülést az NWO nyomulásával kibontakozó valósággal. Gábor, nyilvánvalóan, ezek közé tartozol. (Ennek egyik jele az is, hogy több elemzésed is megjelent az NWO egyes kérdéseiről.) </w:t>
      </w:r>
      <w:r w:rsidR="00EF637E">
        <w:rPr>
          <w:rFonts w:ascii="Calibri" w:eastAsia="Times New Roman" w:hAnsi="Calibri" w:cs="Calibri"/>
          <w:sz w:val="24"/>
          <w:szCs w:val="24"/>
          <w:lang w:eastAsia="hu-HU"/>
        </w:rPr>
        <w:t>Szükségtelen ragozni, hogy ez a világfordulat mindenki terhére mennyiben a hamleti vívódás, a legvégső létkérdés, ami a megmaradás, a fizikai túlélés parancsát hozza. Ehhez képest viszont – nekem úgy tűnik – a történelmi alkotmányunk, az Aranybulla, stb. puszta emlegetése, ill. a Hunexit, stb. felvetése csak politikai gumicsont, ami legfeljebb az önáltatásra és a figyelem elterelésér</w:t>
      </w:r>
      <w:r w:rsidR="00CB74FC">
        <w:rPr>
          <w:rFonts w:ascii="Calibri" w:eastAsia="Times New Roman" w:hAnsi="Calibri" w:cs="Calibri"/>
          <w:sz w:val="24"/>
          <w:szCs w:val="24"/>
          <w:lang w:eastAsia="hu-HU"/>
        </w:rPr>
        <w:t>e jó.</w:t>
      </w:r>
    </w:p>
    <w:p w:rsidR="00A74B37" w:rsidRDefault="00A74B37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………………………..</w:t>
      </w:r>
    </w:p>
    <w:p w:rsidR="0057368D" w:rsidRDefault="00CB74FC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Szent Korona kérdésköre fontos a nemzeti önismeretünkhöz és az önazonosságtudatunk megőrzéséhez. De aktuálpolitikai súlya csak akkor lehet, ha az országunk független állam, amelynek az értékrendje az egész világ társadalmi – politikai berendezése számára is hiteles értékmintát nyújt. Ehhez előbb túl kell élni az NWO világháborúját.</w:t>
      </w:r>
    </w:p>
    <w:p w:rsidR="00C53AAF" w:rsidRDefault="00CB74FC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2021 XII. 10.</w:t>
      </w:r>
    </w:p>
    <w:p w:rsidR="00CB74FC" w:rsidRDefault="00C53AAF" w:rsidP="005F4A4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30" style="width:0;height:1.5pt" o:hralign="center" o:hrstd="t" o:hr="t" fillcolor="#a0a0a0" stroked="f"/>
        </w:pict>
      </w:r>
    </w:p>
    <w:p w:rsidR="00C006CA" w:rsidRDefault="00C53AAF" w:rsidP="00C006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bookmarkStart w:id="1" w:name="a"/>
      <w:r>
        <w:rPr>
          <w:rFonts w:eastAsia="Times New Roman" w:cstheme="minorHAnsi"/>
          <w:sz w:val="24"/>
          <w:szCs w:val="24"/>
          <w:lang w:eastAsia="hu-HU"/>
        </w:rPr>
        <w:t>[1. jegyzet]</w:t>
      </w:r>
    </w:p>
    <w:bookmarkEnd w:id="1"/>
    <w:p w:rsidR="00C53AAF" w:rsidRPr="00C006CA" w:rsidRDefault="00C53AAF" w:rsidP="00C006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006CA" w:rsidRPr="00C006CA" w:rsidRDefault="00C006CA" w:rsidP="00C006C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006CA">
        <w:rPr>
          <w:rFonts w:eastAsia="Times New Roman" w:cstheme="minorHAnsi"/>
          <w:sz w:val="24"/>
          <w:szCs w:val="24"/>
          <w:lang w:eastAsia="hu-HU"/>
        </w:rPr>
        <w:t>"Korunk földkérdése, létünk a tét." /Földrablások a világban és magyar földvédelem./ c. monográfiámból másolom ide, külön file -t nem nyitottam. (A könyv 2018-ból kelt, 4 Pont Nyomda KFT, Eger.  1- 286. o.)</w:t>
      </w:r>
    </w:p>
    <w:p w:rsidR="00C006CA" w:rsidRPr="00C006CA" w:rsidRDefault="00C006CA" w:rsidP="00C006C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006CA">
        <w:rPr>
          <w:rFonts w:eastAsia="Times New Roman" w:cstheme="minorHAnsi"/>
          <w:sz w:val="24"/>
          <w:szCs w:val="24"/>
          <w:lang w:eastAsia="hu-HU"/>
        </w:rPr>
        <w:t xml:space="preserve">Az idézet:  </w:t>
      </w:r>
    </w:p>
    <w:p w:rsidR="00C006CA" w:rsidRPr="00C006CA" w:rsidRDefault="00C006CA" w:rsidP="00C0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: az EU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legfőbb vívmánya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a tőke, az áruk, a szolgáltatások és a személyek (döntően a munkaerő) szabad mozgása.</w:t>
      </w:r>
    </w:p>
    <w:p w:rsidR="00365106" w:rsidRPr="00C006CA" w:rsidRDefault="00C006CA" w:rsidP="00365106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 Az uniós értékrendben az acquis communautaire ezen legfőbb vívmányai, a „négy szabadság”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nem egyenértékű kategóriák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 egymás mellé rendelése, hanem közülük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három alárendelt eszköze a legelsőnek, a tőke szabad mozgásának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. Az áruk, a szolgáltatások és a személyek Unión belüli korlátlan „áramoltatása” egyaránt a tőke és a szabad kereskedelem nem gátolható érvényesülését szolgálja. Ezt a tényt kétségtelenné teszi az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 xml:space="preserve">EU Alapszerződése </w:t>
      </w:r>
      <w:r w:rsidRPr="00C006CA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hu-HU"/>
        </w:rPr>
        <w:t>(EUMSZ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),</w:t>
      </w:r>
      <w:bookmarkStart w:id="2" w:name="m_-5469438890300774351__ftnref2"/>
      <w:r w:rsidR="003213F4"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fldChar w:fldCharType="begin"/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instrText xml:space="preserve"> HYPERLINK "https://mail.google.com/mail/u/0/" \l "m_-5469438890300774351__ftn2" \o "" </w:instrText>
      </w:r>
      <w:r w:rsidR="003213F4"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fldChar w:fldCharType="separate"/>
      </w:r>
      <w:r w:rsidRPr="00C006CA">
        <w:rPr>
          <w:rFonts w:ascii="Calibri" w:eastAsia="Times New Roman" w:hAnsi="Calibri" w:cs="Calibri"/>
          <w:b/>
          <w:bCs/>
          <w:i/>
          <w:iCs/>
          <w:color w:val="0000FF"/>
          <w:sz w:val="28"/>
          <w:u w:val="single"/>
          <w:vertAlign w:val="superscript"/>
          <w:lang w:eastAsia="hu-HU"/>
        </w:rPr>
        <w:t>[2]</w:t>
      </w:r>
      <w:r w:rsidR="003213F4"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fldChar w:fldCharType="end"/>
      </w:r>
      <w:bookmarkEnd w:id="2"/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 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lastRenderedPageBreak/>
        <w:t xml:space="preserve">amely három, az EU teljes működését meghatározó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intézményi kiváltságot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 biztosít a tőkeszabadságnak. Egyik a szabad tőkemozgás bármely - az Unión belüli és kívüli -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korlátjának a tilalma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. (EUMSZ 63. cikk /1/ b. pontja.) Másik a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tőke vétójoga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: az olyan intézkedéshez, ami a tőke elért kiváltságaihoz képest  -  akár a legkisebb -  visszalépés lenne, a döntéshozók teljes egyetértése kell. (EUMSZ 63. cikk /1/ c. pontja.) A harmadik a legfontosabb, ez az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alárendelés törvénye.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 „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Amikor a Tanács és a Parlament a tőke lehető legnagyobb mértékű kiterjesztése érdekében (értsd: a világméretű uralma megvalósításáért) jár el, a Szerződés (EUMSZ) egyéb fejezeteiben foglaltakat nem veszi figyelembe.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” Ez több mint a tőkeszabadságnak tett egyik engedmény, mert nyílt, intézményi cinizmus: mivel az idézett jogforrás az EUMSZ tőkéről szóló 4. fejezetében van, minden más szabály a többi fejezetben szerepel. A jogparancs, magyarán úgy szól: az Unióban megjelenő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tőke az EU összes közösségi politikáját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 (kül- és belpolitika, agrárpolitika, környezetvédelem, stb.) továbbá a </w:t>
      </w:r>
      <w:r w:rsidRPr="00C006CA">
        <w:rPr>
          <w:rFonts w:ascii="Calibri" w:eastAsia="Times New Roman" w:hAnsi="Calibri" w:cs="Calibri"/>
          <w:i/>
          <w:iCs/>
          <w:sz w:val="28"/>
          <w:szCs w:val="28"/>
          <w:lang w:eastAsia="hu-HU"/>
        </w:rPr>
        <w:t>tagállamok és a polgárok jogait, lényegében az egész közösségi jogot alkotmányos jogerővel alárendeli a saját magánérdekeinek</w:t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>. Azok csak annyiban érvényesülhetnek, amennyiben a tőkeérdek képviseletére felhatalmazott -  valójában a tőkehatalomnak elkötelezett és nem az EU polgárai által választott - központi döntéshozók azt egyeztetik a tőkeszabadság érdekeivel.</w:t>
      </w:r>
      <w:bookmarkStart w:id="3" w:name="m_-5469438890300774351__ftnref3"/>
      <w:r w:rsidR="003213F4" w:rsidRPr="00C006CA">
        <w:rPr>
          <w:rFonts w:ascii="Calibri" w:eastAsia="Times New Roman" w:hAnsi="Calibri" w:cs="Calibri"/>
          <w:sz w:val="28"/>
          <w:szCs w:val="28"/>
          <w:lang w:eastAsia="hu-HU"/>
        </w:rPr>
        <w:fldChar w:fldCharType="begin"/>
      </w: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instrText xml:space="preserve"> HYPERLINK "https://mail.google.com/mail/u/0/" \l "m_-5469438890300774351__ftn3" \o "" </w:instrText>
      </w:r>
      <w:r w:rsidR="003213F4" w:rsidRPr="00C006CA">
        <w:rPr>
          <w:rFonts w:ascii="Calibri" w:eastAsia="Times New Roman" w:hAnsi="Calibri" w:cs="Calibri"/>
          <w:sz w:val="28"/>
          <w:szCs w:val="28"/>
          <w:lang w:eastAsia="hu-HU"/>
        </w:rPr>
        <w:fldChar w:fldCharType="separate"/>
      </w:r>
      <w:r w:rsidRPr="00C006CA">
        <w:rPr>
          <w:rFonts w:ascii="Calibri" w:eastAsia="Times New Roman" w:hAnsi="Calibri" w:cs="Calibri"/>
          <w:color w:val="0000FF"/>
          <w:sz w:val="28"/>
          <w:u w:val="single"/>
          <w:vertAlign w:val="superscript"/>
          <w:lang w:eastAsia="hu-HU"/>
        </w:rPr>
        <w:t>[3]</w:t>
      </w:r>
      <w:r w:rsidR="003213F4" w:rsidRPr="00C006CA">
        <w:rPr>
          <w:rFonts w:ascii="Calibri" w:eastAsia="Times New Roman" w:hAnsi="Calibri" w:cs="Calibri"/>
          <w:sz w:val="28"/>
          <w:szCs w:val="28"/>
          <w:lang w:eastAsia="hu-HU"/>
        </w:rPr>
        <w:fldChar w:fldCharType="end"/>
      </w:r>
      <w:bookmarkEnd w:id="3"/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 (Ld.</w:t>
      </w:r>
      <w:r w:rsidR="00365106">
        <w:rPr>
          <w:rFonts w:ascii="Calibri" w:eastAsia="Times New Roman" w:hAnsi="Calibri" w:cs="Calibri"/>
          <w:sz w:val="28"/>
          <w:szCs w:val="28"/>
          <w:lang w:eastAsia="hu-HU"/>
        </w:rPr>
        <w:t xml:space="preserve"> Tanka E.: </w:t>
      </w:r>
      <w:r w:rsidR="00365106" w:rsidRPr="00C006CA">
        <w:rPr>
          <w:rFonts w:eastAsia="Times New Roman" w:cstheme="minorHAnsi"/>
          <w:sz w:val="24"/>
          <w:szCs w:val="24"/>
          <w:lang w:eastAsia="hu-HU"/>
        </w:rPr>
        <w:t>"Korunk földkérdése, létünk a tét." /Földrablások a világban és magyar földvédelem./ c. monográfiámból másolom ide, külön file -t nem nyitottam. (A könyv 2018-ból kelt, 4 Pont Nyomda KFT, Eger.  1- 286. o.)</w:t>
      </w:r>
    </w:p>
    <w:p w:rsidR="00C006CA" w:rsidRPr="00C006CA" w:rsidRDefault="00C006CA" w:rsidP="00C0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06CA">
        <w:rPr>
          <w:rFonts w:ascii="Calibri" w:eastAsia="Times New Roman" w:hAnsi="Calibri" w:cs="Calibri"/>
          <w:sz w:val="28"/>
          <w:szCs w:val="28"/>
          <w:lang w:eastAsia="hu-HU"/>
        </w:rPr>
        <w:t xml:space="preserve"> 11 - 12. o.)</w:t>
      </w:r>
    </w:p>
    <w:p w:rsidR="00C53AAF" w:rsidRDefault="00C53AAF" w:rsidP="00C0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m_-5469438890300774351__ftn2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1.5pt" o:hralign="center" o:hrstd="t" o:hr="t" fillcolor="#a0a0a0" stroked="f"/>
        </w:pict>
      </w:r>
    </w:p>
    <w:p w:rsidR="00C006CA" w:rsidRPr="00C006CA" w:rsidRDefault="003213F4" w:rsidP="00C00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hyperlink r:id="rId7" w:anchor="m_-5469438890300774351__ftnref2" w:history="1">
        <w:r w:rsidR="00C006CA" w:rsidRPr="00C006CA">
          <w:rPr>
            <w:rFonts w:ascii="Calibri" w:eastAsia="Times New Roman" w:hAnsi="Calibri" w:cs="Calibri"/>
            <w:color w:val="0000FF"/>
            <w:sz w:val="24"/>
            <w:szCs w:val="24"/>
            <w:u w:val="single"/>
            <w:vertAlign w:val="superscript"/>
            <w:lang w:eastAsia="hu-HU"/>
          </w:rPr>
          <w:t>[2]</w:t>
        </w:r>
      </w:hyperlink>
      <w:bookmarkEnd w:id="4"/>
      <w:r w:rsidR="00C006CA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006CA" w:rsidRPr="00C006CA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EUMSZ</w:t>
      </w:r>
      <w:r w:rsidR="00C006CA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 == az </w:t>
      </w:r>
      <w:r w:rsidR="00C006CA" w:rsidRPr="00C006CA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Európai Unió Működéséről szóló Szerződés</w:t>
      </w:r>
      <w:r w:rsidR="00C006CA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, a 2007. II. 13-án kelt és 2009. XII. 1-jén hatályba lépett </w:t>
      </w:r>
      <w:r w:rsidR="00C006CA" w:rsidRPr="00C006CA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Lisszaboni Szerződés</w:t>
      </w:r>
      <w:r w:rsidR="00C006CA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 által módosított, majd egységes szerkezetben közzétett normaszöveg. Ld. magyarul: az EU Hivatalos Lapja C 326.  55. évf. 2012. okt. 26. 2012/C 326/01 közlési szám alatt.</w:t>
      </w:r>
    </w:p>
    <w:p w:rsidR="00C53AAF" w:rsidRDefault="00C53AAF" w:rsidP="00C006C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5" w:name="m_-5469438890300774351__ftn3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8" style="width:0;height:1.5pt" o:hralign="center" o:hrstd="t" o:hr="t" fillcolor="#a0a0a0" stroked="f"/>
        </w:pict>
      </w:r>
    </w:p>
    <w:p w:rsidR="00C006CA" w:rsidRPr="00C006CA" w:rsidRDefault="003213F4" w:rsidP="00C00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hyperlink r:id="rId8" w:anchor="m_-5469438890300774351__ftnref3" w:history="1">
        <w:r w:rsidR="00C006CA" w:rsidRPr="00C006CA">
          <w:rPr>
            <w:rFonts w:ascii="Calibri" w:eastAsia="Times New Roman" w:hAnsi="Calibri" w:cs="Calibri"/>
            <w:color w:val="0000FF"/>
            <w:sz w:val="24"/>
            <w:szCs w:val="24"/>
            <w:u w:val="single"/>
            <w:vertAlign w:val="superscript"/>
            <w:lang w:eastAsia="hu-HU"/>
          </w:rPr>
          <w:t>[3</w:t>
        </w:r>
        <w:r w:rsidR="00C006CA" w:rsidRPr="00C006CA">
          <w:rPr>
            <w:rFonts w:ascii="Calibri" w:eastAsia="Times New Roman" w:hAnsi="Calibri" w:cs="Calibri"/>
            <w:color w:val="0000FF"/>
            <w:sz w:val="24"/>
            <w:szCs w:val="24"/>
            <w:u w:val="single"/>
            <w:vertAlign w:val="superscript"/>
            <w:lang w:eastAsia="hu-HU"/>
          </w:rPr>
          <w:t>]</w:t>
        </w:r>
      </w:hyperlink>
      <w:bookmarkEnd w:id="5"/>
      <w:r w:rsidR="00C006CA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 Ugyanezt a szabályt a 2007. XII. 13-i </w:t>
      </w:r>
      <w:r w:rsidR="00C006CA" w:rsidRPr="00C006CA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Lisszaboni Szerződés</w:t>
      </w:r>
      <w:r w:rsidR="00C006CA" w:rsidRPr="00C006CA">
        <w:rPr>
          <w:rFonts w:ascii="Calibri" w:eastAsia="Times New Roman" w:hAnsi="Calibri" w:cs="Calibri"/>
          <w:sz w:val="24"/>
          <w:szCs w:val="24"/>
          <w:lang w:eastAsia="hu-HU"/>
        </w:rPr>
        <w:t xml:space="preserve"> is megerősítette. (157. cikk)</w:t>
      </w:r>
    </w:p>
    <w:p w:rsidR="00C53AAF" w:rsidRDefault="00C53AAF"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9" style="width:0;height:1.5pt" o:hralign="center" o:hrstd="t" o:hr="t" fillcolor="#a0a0a0" stroked="f"/>
        </w:pict>
      </w:r>
    </w:p>
    <w:p w:rsidR="00C006CA" w:rsidRDefault="00C006CA"/>
    <w:sectPr w:rsidR="00C006CA" w:rsidSect="000266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6E" w:rsidRDefault="0087056E" w:rsidP="003C0E7E">
      <w:pPr>
        <w:spacing w:after="0" w:line="240" w:lineRule="auto"/>
      </w:pPr>
      <w:r>
        <w:separator/>
      </w:r>
    </w:p>
  </w:endnote>
  <w:endnote w:type="continuationSeparator" w:id="0">
    <w:p w:rsidR="0087056E" w:rsidRDefault="0087056E" w:rsidP="003C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844"/>
      <w:docPartObj>
        <w:docPartGallery w:val="Page Numbers (Bottom of Page)"/>
        <w:docPartUnique/>
      </w:docPartObj>
    </w:sdtPr>
    <w:sdtEndPr/>
    <w:sdtContent>
      <w:p w:rsidR="00EF637E" w:rsidRDefault="0087056E">
        <w:pPr>
          <w:pStyle w:val="llb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6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37E" w:rsidRDefault="00EF63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6E" w:rsidRDefault="0087056E" w:rsidP="003C0E7E">
      <w:pPr>
        <w:spacing w:after="0" w:line="240" w:lineRule="auto"/>
      </w:pPr>
      <w:r>
        <w:separator/>
      </w:r>
    </w:p>
  </w:footnote>
  <w:footnote w:type="continuationSeparator" w:id="0">
    <w:p w:rsidR="0087056E" w:rsidRDefault="0087056E" w:rsidP="003C0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9B"/>
    <w:rsid w:val="0002668D"/>
    <w:rsid w:val="00031FCC"/>
    <w:rsid w:val="00057C08"/>
    <w:rsid w:val="000C1E91"/>
    <w:rsid w:val="000E5208"/>
    <w:rsid w:val="001A4DE2"/>
    <w:rsid w:val="001B49DE"/>
    <w:rsid w:val="001C0374"/>
    <w:rsid w:val="001E2804"/>
    <w:rsid w:val="002767DF"/>
    <w:rsid w:val="002C5DE8"/>
    <w:rsid w:val="00307785"/>
    <w:rsid w:val="00307E67"/>
    <w:rsid w:val="003213F4"/>
    <w:rsid w:val="00365106"/>
    <w:rsid w:val="00365F4D"/>
    <w:rsid w:val="003C0E7E"/>
    <w:rsid w:val="003E7A3A"/>
    <w:rsid w:val="003F0301"/>
    <w:rsid w:val="003F6167"/>
    <w:rsid w:val="004E3977"/>
    <w:rsid w:val="0057368D"/>
    <w:rsid w:val="005B5ECF"/>
    <w:rsid w:val="005F4A46"/>
    <w:rsid w:val="0065678C"/>
    <w:rsid w:val="006D1647"/>
    <w:rsid w:val="006D4C54"/>
    <w:rsid w:val="007419FF"/>
    <w:rsid w:val="007A689A"/>
    <w:rsid w:val="007D7238"/>
    <w:rsid w:val="007F5A8F"/>
    <w:rsid w:val="0087056E"/>
    <w:rsid w:val="008D2BAB"/>
    <w:rsid w:val="008E5E99"/>
    <w:rsid w:val="0091615F"/>
    <w:rsid w:val="0099367C"/>
    <w:rsid w:val="009A29F6"/>
    <w:rsid w:val="009F1098"/>
    <w:rsid w:val="00A31F06"/>
    <w:rsid w:val="00A74B37"/>
    <w:rsid w:val="00A771F4"/>
    <w:rsid w:val="00AC569B"/>
    <w:rsid w:val="00B1383F"/>
    <w:rsid w:val="00B51B7C"/>
    <w:rsid w:val="00BF6D59"/>
    <w:rsid w:val="00C006CA"/>
    <w:rsid w:val="00C15D83"/>
    <w:rsid w:val="00C25140"/>
    <w:rsid w:val="00C53319"/>
    <w:rsid w:val="00C53AAF"/>
    <w:rsid w:val="00C62340"/>
    <w:rsid w:val="00C73008"/>
    <w:rsid w:val="00CB74FC"/>
    <w:rsid w:val="00CC7F1B"/>
    <w:rsid w:val="00CD4D70"/>
    <w:rsid w:val="00CD4DEC"/>
    <w:rsid w:val="00D66864"/>
    <w:rsid w:val="00D741E7"/>
    <w:rsid w:val="00D929CD"/>
    <w:rsid w:val="00DC11A4"/>
    <w:rsid w:val="00E35768"/>
    <w:rsid w:val="00E60325"/>
    <w:rsid w:val="00EA7FFB"/>
    <w:rsid w:val="00EB7740"/>
    <w:rsid w:val="00ED56B0"/>
    <w:rsid w:val="00EF637E"/>
    <w:rsid w:val="00F05D0D"/>
    <w:rsid w:val="00FB08E1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0029"/>
  <w15:docId w15:val="{ABC7FE19-5845-4D93-9740-10E3518D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68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006CA"/>
    <w:rPr>
      <w:color w:val="0000FF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C006CA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3C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C0E7E"/>
  </w:style>
  <w:style w:type="paragraph" w:styleId="llb">
    <w:name w:val="footer"/>
    <w:basedOn w:val="Norml"/>
    <w:link w:val="llbChar"/>
    <w:uiPriority w:val="99"/>
    <w:unhideWhenUsed/>
    <w:rsid w:val="003C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0E7E"/>
  </w:style>
  <w:style w:type="character" w:styleId="Mrltotthiperhivatkozs">
    <w:name w:val="FollowedHyperlink"/>
    <w:basedOn w:val="Bekezdsalapbettpusa"/>
    <w:uiPriority w:val="99"/>
    <w:semiHidden/>
    <w:unhideWhenUsed/>
    <w:rsid w:val="00C53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992A-5376-4F9A-9290-F429C950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2038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</dc:creator>
  <cp:lastModifiedBy>Fáy Árpád</cp:lastModifiedBy>
  <cp:revision>2</cp:revision>
  <dcterms:created xsi:type="dcterms:W3CDTF">2022-01-25T14:57:00Z</dcterms:created>
  <dcterms:modified xsi:type="dcterms:W3CDTF">2022-01-25T14:57:00Z</dcterms:modified>
</cp:coreProperties>
</file>